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38A02" w14:textId="34B963A8" w:rsidR="00B32FEC" w:rsidRDefault="000D1A43" w:rsidP="00DB3578">
      <w:r>
        <w:t>March 13, 2019</w:t>
      </w:r>
    </w:p>
    <w:p w14:paraId="42284121" w14:textId="5CB88E32" w:rsidR="00B960D5" w:rsidRDefault="00DB3578" w:rsidP="00DB3578">
      <w:r>
        <w:t>Chair</w:t>
      </w:r>
      <w:r w:rsidR="006564D7">
        <w:t xml:space="preserve">woman </w:t>
      </w:r>
      <w:r w:rsidR="000D1A43">
        <w:t xml:space="preserve">Millett, Chairwoman </w:t>
      </w:r>
      <w:proofErr w:type="spellStart"/>
      <w:r w:rsidR="000D1A43">
        <w:t>Kornfield</w:t>
      </w:r>
      <w:proofErr w:type="spellEnd"/>
      <w:r w:rsidR="000D1A43">
        <w:t>, Distinguished Members of the Joint Standing Committee on Education and Cultural Affairs</w:t>
      </w:r>
      <w:r>
        <w:t>:</w:t>
      </w:r>
    </w:p>
    <w:p w14:paraId="17FF3049" w14:textId="22C34139" w:rsidR="00DB3578" w:rsidRDefault="00DB3578" w:rsidP="00DB3578">
      <w:r>
        <w:t xml:space="preserve">My name is Alan Cobo-Lewis. I live in </w:t>
      </w:r>
      <w:proofErr w:type="spellStart"/>
      <w:r>
        <w:t>Orono</w:t>
      </w:r>
      <w:proofErr w:type="spellEnd"/>
      <w:r>
        <w:t xml:space="preserve">. I am director of the Center for Community Inclusion and Disability Studies at the University of Maine (CCIDS). I am testifying for myself and for CCIDS, not for the University of Maine or </w:t>
      </w:r>
      <w:r w:rsidR="005C5E57">
        <w:t xml:space="preserve">the </w:t>
      </w:r>
      <w:r>
        <w:t>University of Maine System as a whole.</w:t>
      </w:r>
    </w:p>
    <w:p w14:paraId="751D363F" w14:textId="7BFF77AC" w:rsidR="00DB3578" w:rsidRDefault="00DB3578" w:rsidP="00DB3578">
      <w:r>
        <w:t xml:space="preserve">I am testifying </w:t>
      </w:r>
      <w:r w:rsidR="00E04453" w:rsidRPr="00F202F8">
        <w:rPr>
          <w:b/>
          <w:u w:val="single"/>
        </w:rPr>
        <w:t>F</w:t>
      </w:r>
      <w:r w:rsidR="00F202F8" w:rsidRPr="00F202F8">
        <w:rPr>
          <w:b/>
          <w:u w:val="single"/>
        </w:rPr>
        <w:t>OR</w:t>
      </w:r>
      <w:r w:rsidR="00E04453" w:rsidRPr="00F202F8">
        <w:rPr>
          <w:b/>
          <w:u w:val="single"/>
        </w:rPr>
        <w:t xml:space="preserve"> </w:t>
      </w:r>
      <w:r w:rsidR="000D1A43" w:rsidRPr="00F202F8">
        <w:rPr>
          <w:b/>
          <w:u w:val="single"/>
        </w:rPr>
        <w:t>LD 798</w:t>
      </w:r>
      <w:r w:rsidR="000D1A43">
        <w:t>, “</w:t>
      </w:r>
      <w:r w:rsidR="000D1A43" w:rsidRPr="000D1A43">
        <w:t xml:space="preserve">An Act </w:t>
      </w:r>
      <w:proofErr w:type="gramStart"/>
      <w:r w:rsidR="000D1A43" w:rsidRPr="000D1A43">
        <w:t>To</w:t>
      </w:r>
      <w:proofErr w:type="gramEnd"/>
      <w:r w:rsidR="000D1A43" w:rsidRPr="000D1A43">
        <w:t xml:space="preserve"> Protect Maine Children and Students from Preventable Diseases by Repealing Certain Exemptions from the Laws Governing Immunization Requirements</w:t>
      </w:r>
      <w:r w:rsidR="000D1A43">
        <w:t>”.</w:t>
      </w:r>
    </w:p>
    <w:p w14:paraId="59061DB6" w14:textId="74598A24" w:rsidR="00DB3578" w:rsidRDefault="00DB3578" w:rsidP="00DB3578">
      <w:pPr>
        <w:rPr>
          <w:rFonts w:cstheme="minorHAnsi"/>
        </w:rPr>
      </w:pPr>
      <w:r w:rsidRPr="0048141D">
        <w:rPr>
          <w:rFonts w:cstheme="minorHAnsi"/>
        </w:rPr>
        <w:t>CCIDS is Maine’s federally funded University Center for Excellence in Developmental Disabilities (UCEDD</w:t>
      </w:r>
      <w:r w:rsidR="00D8081B">
        <w:rPr>
          <w:rFonts w:cstheme="minorHAnsi"/>
        </w:rPr>
        <w:t>, pronounced “you-said”</w:t>
      </w:r>
      <w:r w:rsidRPr="0048141D">
        <w:rPr>
          <w:rFonts w:cstheme="minorHAnsi"/>
        </w:rPr>
        <w:t>)</w:t>
      </w:r>
      <w:r w:rsidR="00E44F1C">
        <w:rPr>
          <w:rFonts w:cstheme="minorHAnsi"/>
        </w:rPr>
        <w:t>, authorized by the federal Developmental Disabilities and Bill of Rights Act of 2000 (“DD Act”)</w:t>
      </w:r>
      <w:r w:rsidRPr="0048141D">
        <w:rPr>
          <w:rFonts w:cstheme="minorHAnsi"/>
        </w:rPr>
        <w:t>. The purpose of the national network of UCEDDs is to provide leadership in, advise federal state and community policy leaders about, and promote opportunities for individuals with developmental disabilities to exercise self-determination, be independent, be productive, and be integrated and included in all facets of community life.</w:t>
      </w:r>
      <w:r>
        <w:rPr>
          <w:rFonts w:cstheme="minorHAnsi"/>
        </w:rPr>
        <w:t xml:space="preserve"> Part of the federal mandate of CCIDS is to educate and advise policymakers, including members of the state legislature.</w:t>
      </w:r>
    </w:p>
    <w:p w14:paraId="229CC9F8" w14:textId="02B18C7F" w:rsidR="00757E1A" w:rsidRDefault="00DB3578" w:rsidP="000D1A43">
      <w:r>
        <w:t xml:space="preserve">I am also a parent of two </w:t>
      </w:r>
      <w:r w:rsidR="000D1A43">
        <w:t xml:space="preserve">adult </w:t>
      </w:r>
      <w:r>
        <w:t>teenagers, one of whom has autism</w:t>
      </w:r>
      <w:r w:rsidR="006564D7">
        <w:t xml:space="preserve"> and has significant functional limitations</w:t>
      </w:r>
      <w:r>
        <w:t>.</w:t>
      </w:r>
      <w:r w:rsidR="000D1A43">
        <w:t xml:space="preserve"> I assure you that I remember well the sense of deep concern and search for answers—and even fear—that pervaded my life when my </w:t>
      </w:r>
      <w:r w:rsidR="00416851">
        <w:t>younger son</w:t>
      </w:r>
      <w:r w:rsidR="000D1A43">
        <w:t xml:space="preserve"> was diagnosed 16 years ago</w:t>
      </w:r>
      <w:r w:rsidR="00757E1A">
        <w:t>.</w:t>
      </w:r>
      <w:r w:rsidR="000D1A43">
        <w:t xml:space="preserve"> I do not minimize parental concerns. I lived there.</w:t>
      </w:r>
      <w:r w:rsidR="00F202F8">
        <w:t xml:space="preserve"> Sometimes I still live there.</w:t>
      </w:r>
    </w:p>
    <w:p w14:paraId="77CFF05F" w14:textId="7F1AF978" w:rsidR="000D1A43" w:rsidRDefault="000D1A43" w:rsidP="000D1A43">
      <w:r>
        <w:t>The 21</w:t>
      </w:r>
      <w:r w:rsidRPr="000D1A43">
        <w:rPr>
          <w:vertAlign w:val="superscript"/>
        </w:rPr>
        <w:t>st</w:t>
      </w:r>
      <w:r>
        <w:t>-century movement against vaccines is traceable to a large extent to a paper by Andrew Wakefield and colleagues</w:t>
      </w:r>
      <w:r>
        <w:rPr>
          <w:rStyle w:val="FootnoteReference"/>
        </w:rPr>
        <w:footnoteReference w:id="1"/>
      </w:r>
      <w:r>
        <w:t xml:space="preserve"> that has subsequently been declared fraudulent and </w:t>
      </w:r>
      <w:r w:rsidR="00416851">
        <w:t xml:space="preserve">that has been </w:t>
      </w:r>
      <w:r>
        <w:t>retracted by the journal that published it</w:t>
      </w:r>
      <w:r w:rsidR="00455D83">
        <w:rPr>
          <w:rStyle w:val="FootnoteReference"/>
        </w:rPr>
        <w:footnoteReference w:id="2"/>
      </w:r>
      <w:r>
        <w:t>.</w:t>
      </w:r>
    </w:p>
    <w:p w14:paraId="58ED96CA" w14:textId="7DD494D1" w:rsidR="00455D83" w:rsidRDefault="00455D83" w:rsidP="000D1A43">
      <w:r>
        <w:t xml:space="preserve">Let me be clear. The initial hypothesis, that heavy metal in a vaccine preservative, was not on its face implausible. It was worth testing. </w:t>
      </w:r>
      <w:r w:rsidR="00F202F8">
        <w:t xml:space="preserve">That is how science works—by subjecting hypotheses to test. </w:t>
      </w:r>
      <w:r>
        <w:t xml:space="preserve">However, study after study after study </w:t>
      </w:r>
      <w:r w:rsidR="00F202F8">
        <w:t xml:space="preserve">(not reviewed in this testimony) </w:t>
      </w:r>
      <w:r>
        <w:t>have failed to confirm any causal link between vaccines and autism. The hypothesis has been disconfirmed.</w:t>
      </w:r>
      <w:r w:rsidR="00FF745E">
        <w:t xml:space="preserve"> It is important for those of us who engage in research, education, service, and dissemination in developmental disabilities to convey this information.</w:t>
      </w:r>
    </w:p>
    <w:p w14:paraId="20EE2006" w14:textId="2DBE56E4" w:rsidR="00455D83" w:rsidRDefault="00455D83" w:rsidP="000D1A43">
      <w:r>
        <w:t xml:space="preserve">The Committee faces a decision about how to balance liberty interest against public health interest. The liberty interest is real. When I first discovered the exemption for philosophical objections in Maine law, </w:t>
      </w:r>
      <w:r w:rsidR="00F202F8">
        <w:lastRenderedPageBreak/>
        <w:t xml:space="preserve">about a decade and a half ago, </w:t>
      </w:r>
      <w:r>
        <w:t>I found it interesting (if surprising), and I felt that, as long as vaccination rates were high enough to confer herd immunity, it was defensible.</w:t>
      </w:r>
    </w:p>
    <w:p w14:paraId="1E77F9B0" w14:textId="06463383" w:rsidR="00455D83" w:rsidRDefault="00455D83" w:rsidP="000D1A43">
      <w:r>
        <w:t>However, due to the spread of what is essentially a contagious false belief, vaccin</w:t>
      </w:r>
      <w:r w:rsidR="00416851">
        <w:t>ation</w:t>
      </w:r>
      <w:r>
        <w:t xml:space="preserve"> rates are falling toward the point where herd immunity is at risk. This changes the calculation. Vulnerable members of the population—people with compromised immune system, children too young for vaccination—are unable to enjoy the benefits themselves of vaccine-induced immunity, and they rely on herd immunity for protection.</w:t>
      </w:r>
      <w:r w:rsidR="00F202F8">
        <w:t xml:space="preserve"> Moreover, all of us rely on herd immunity to prevent epidemics—costly in dollars and in human life and suffering—that</w:t>
      </w:r>
      <w:r w:rsidR="00416851">
        <w:t>, depending on the disease,</w:t>
      </w:r>
      <w:r w:rsidR="00F202F8">
        <w:t xml:space="preserve"> ha</w:t>
      </w:r>
      <w:r w:rsidR="00416851">
        <w:t>d</w:t>
      </w:r>
      <w:r w:rsidR="00F202F8">
        <w:t xml:space="preserve"> heretofore been banished from the </w:t>
      </w:r>
      <w:r w:rsidR="00416851">
        <w:t xml:space="preserve">developed world, or even banished from the </w:t>
      </w:r>
      <w:r w:rsidR="00F202F8">
        <w:t>earth.</w:t>
      </w:r>
    </w:p>
    <w:p w14:paraId="64695A88" w14:textId="129EEE6F" w:rsidR="00F202F8" w:rsidRDefault="00F202F8" w:rsidP="000D1A43">
      <w:r>
        <w:t>It is time to repeal the philosophical objection exclusion.</w:t>
      </w:r>
    </w:p>
    <w:p w14:paraId="7213A551" w14:textId="0543A227" w:rsidR="00F202F8" w:rsidRDefault="00F202F8" w:rsidP="000D1A43">
      <w:r>
        <w:t>I would also like to weigh in on LD 987, “</w:t>
      </w:r>
      <w:r w:rsidRPr="00F202F8">
        <w:t xml:space="preserve">An Act </w:t>
      </w:r>
      <w:proofErr w:type="gramStart"/>
      <w:r w:rsidRPr="00F202F8">
        <w:t>To</w:t>
      </w:r>
      <w:proofErr w:type="gramEnd"/>
      <w:r w:rsidRPr="00F202F8">
        <w:t xml:space="preserve"> Provide Autonomy for Health Care Providers To Practice Patient-centered Care by Amending the Laws Governing Medical Exemptions to Immunization Requirements</w:t>
      </w:r>
      <w:r>
        <w:t xml:space="preserve">”. Although I don’t particularly object to the changes in Sections 1-3 of the bill authorizing a broader class of health care providers or public health officials to offer a certificate of immunization or written assurance, I do object to the broad authority that the bill would grant </w:t>
      </w:r>
      <w:r w:rsidR="00A630F7">
        <w:t xml:space="preserve">to </w:t>
      </w:r>
      <w:r>
        <w:t>health care providers to use their sole discretion, not subject to any rules or policies adopted by the state, school boards, municipalities, or private schools.</w:t>
      </w:r>
      <w:r w:rsidR="00A630F7">
        <w:t xml:space="preserve"> That kind of discretion would put public health at risk.</w:t>
      </w:r>
    </w:p>
    <w:p w14:paraId="0EB05FA7" w14:textId="545205D5" w:rsidR="00FF745E" w:rsidRDefault="00FF745E" w:rsidP="000D1A43">
      <w:r>
        <w:t xml:space="preserve">Alan </w:t>
      </w:r>
      <w:proofErr w:type="spellStart"/>
      <w:r>
        <w:t>Cobo</w:t>
      </w:r>
      <w:proofErr w:type="spellEnd"/>
      <w:r>
        <w:t>-Lewis, Ph.D.</w:t>
      </w:r>
      <w:r>
        <w:br/>
        <w:t>Director, Center for Community Inclusion and Disability Studies</w:t>
      </w:r>
      <w:r>
        <w:br/>
      </w:r>
      <w:bookmarkStart w:id="0" w:name="_GoBack"/>
      <w:bookmarkEnd w:id="0"/>
      <w:r>
        <w:t>Associate Professor of Psychology</w:t>
      </w:r>
    </w:p>
    <w:sectPr w:rsidR="00FF745E" w:rsidSect="00B12E59">
      <w:footerReference w:type="default" r:id="rId8"/>
      <w:headerReference w:type="first" r:id="rId9"/>
      <w:footerReference w:type="first" r:id="rId10"/>
      <w:pgSz w:w="12240" w:h="15840"/>
      <w:pgMar w:top="1440" w:right="1440" w:bottom="1440" w:left="1440" w:header="792"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6CA0F" w14:textId="77777777" w:rsidR="00B06833" w:rsidRDefault="00B06833" w:rsidP="00B12E59">
      <w:pPr>
        <w:spacing w:after="0" w:line="240" w:lineRule="auto"/>
      </w:pPr>
      <w:r>
        <w:separator/>
      </w:r>
    </w:p>
  </w:endnote>
  <w:endnote w:type="continuationSeparator" w:id="0">
    <w:p w14:paraId="1352B495" w14:textId="77777777" w:rsidR="00B06833" w:rsidRDefault="00B06833" w:rsidP="00B1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0"/>
    <w:family w:val="roman"/>
    <w:notTrueType/>
    <w:pitch w:val="default"/>
  </w:font>
  <w:font w:name="Lucida Grande">
    <w:altName w:val="Times New Roman"/>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CCB5" w14:textId="73C8A290" w:rsidR="002A5D4A" w:rsidRDefault="002A5D4A" w:rsidP="00C0648C">
    <w:pPr>
      <w:pStyle w:val="Footer"/>
      <w:jc w:val="center"/>
    </w:pPr>
    <w:r>
      <w:fldChar w:fldCharType="begin"/>
    </w:r>
    <w:r>
      <w:instrText xml:space="preserve"> PAGE   \* MERGEFORMAT </w:instrText>
    </w:r>
    <w:r>
      <w:fldChar w:fldCharType="separate"/>
    </w:r>
    <w:r w:rsidR="00FF745E">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CAA6" w14:textId="77777777" w:rsidR="002A5D4A" w:rsidRPr="003E7B43" w:rsidRDefault="002A5D4A" w:rsidP="00B12E59">
    <w:pPr>
      <w:pStyle w:val="Footer"/>
      <w:tabs>
        <w:tab w:val="left" w:pos="1260"/>
        <w:tab w:val="center" w:pos="4788"/>
      </w:tabs>
      <w:rPr>
        <w:rFonts w:ascii="Garamond" w:hAnsi="Garamond"/>
        <w:smallCaps/>
        <w:color w:val="222A35" w:themeColor="text2" w:themeShade="80"/>
        <w:sz w:val="20"/>
      </w:rPr>
    </w:pPr>
    <w:r>
      <w:rPr>
        <w:rFonts w:ascii="Garamond" w:hAnsi="Garamond"/>
        <w:smallCaps/>
        <w:color w:val="222A35" w:themeColor="text2" w:themeShade="80"/>
        <w:sz w:val="20"/>
      </w:rPr>
      <w:tab/>
    </w:r>
    <w:r>
      <w:rPr>
        <w:rFonts w:ascii="Garamond" w:hAnsi="Garamond"/>
        <w:smallCaps/>
        <w:color w:val="222A35" w:themeColor="text2" w:themeShade="80"/>
        <w:sz w:val="20"/>
      </w:rPr>
      <w:tab/>
    </w:r>
    <w:r w:rsidRPr="003E7B43">
      <w:rPr>
        <w:rFonts w:ascii="Garamond" w:hAnsi="Garamond"/>
        <w:smallCaps/>
        <w:color w:val="222A35" w:themeColor="text2" w:themeShade="80"/>
        <w:sz w:val="20"/>
      </w:rPr>
      <w:t>Maine’s Land Grant and Sea Grant University</w:t>
    </w:r>
  </w:p>
  <w:p w14:paraId="74D707C3" w14:textId="77777777" w:rsidR="002A5D4A" w:rsidRPr="003E7B43" w:rsidRDefault="002A5D4A" w:rsidP="00B12E59">
    <w:pPr>
      <w:pStyle w:val="Footer"/>
      <w:jc w:val="center"/>
      <w:rPr>
        <w:rFonts w:ascii="Garamond" w:hAnsi="Garamond"/>
        <w:i/>
        <w:color w:val="222A35" w:themeColor="text2" w:themeShade="80"/>
        <w:sz w:val="20"/>
      </w:rPr>
    </w:pPr>
    <w:r w:rsidRPr="003E7B43">
      <w:rPr>
        <w:rFonts w:ascii="Garamond" w:hAnsi="Garamond"/>
        <w:i/>
        <w:color w:val="222A35" w:themeColor="text2" w:themeShade="80"/>
        <w:sz w:val="20"/>
      </w:rPr>
      <w:t>One of Maine’s public universities</w:t>
    </w:r>
  </w:p>
  <w:p w14:paraId="7851AC49" w14:textId="77777777" w:rsidR="002A5D4A" w:rsidRDefault="002A5D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F1198" w14:textId="77777777" w:rsidR="00B06833" w:rsidRDefault="00B06833" w:rsidP="00B12E59">
      <w:pPr>
        <w:spacing w:after="0" w:line="240" w:lineRule="auto"/>
      </w:pPr>
      <w:r>
        <w:separator/>
      </w:r>
    </w:p>
  </w:footnote>
  <w:footnote w:type="continuationSeparator" w:id="0">
    <w:p w14:paraId="4D749B6D" w14:textId="77777777" w:rsidR="00B06833" w:rsidRDefault="00B06833" w:rsidP="00B12E59">
      <w:pPr>
        <w:spacing w:after="0" w:line="240" w:lineRule="auto"/>
      </w:pPr>
      <w:r>
        <w:continuationSeparator/>
      </w:r>
    </w:p>
  </w:footnote>
  <w:footnote w:id="1">
    <w:p w14:paraId="4A00F31A" w14:textId="5DAE4FED" w:rsidR="000D1A43" w:rsidRDefault="000D1A43" w:rsidP="000D1A43">
      <w:pPr>
        <w:pStyle w:val="FootnoteText"/>
      </w:pPr>
      <w:r>
        <w:rPr>
          <w:rStyle w:val="FootnoteReference"/>
        </w:rPr>
        <w:footnoteRef/>
      </w:r>
      <w:r>
        <w:t xml:space="preserve"> </w:t>
      </w:r>
      <w:r>
        <w:t xml:space="preserve">Wakefield AJ, </w:t>
      </w:r>
      <w:proofErr w:type="spellStart"/>
      <w:r>
        <w:t>Murch</w:t>
      </w:r>
      <w:proofErr w:type="spellEnd"/>
      <w:r>
        <w:t xml:space="preserve"> SH, Anthony A, </w:t>
      </w:r>
      <w:proofErr w:type="spellStart"/>
      <w:r>
        <w:t>Linnell</w:t>
      </w:r>
      <w:proofErr w:type="spellEnd"/>
      <w:r>
        <w:t xml:space="preserve">, </w:t>
      </w:r>
      <w:proofErr w:type="spellStart"/>
      <w:r>
        <w:t>Casson</w:t>
      </w:r>
      <w:proofErr w:type="spellEnd"/>
      <w:r>
        <w:t xml:space="preserve"> DM, Malik M, et al. </w:t>
      </w:r>
      <w:proofErr w:type="spellStart"/>
      <w:r>
        <w:t>Ileal</w:t>
      </w:r>
      <w:proofErr w:type="spellEnd"/>
      <w:r>
        <w:t xml:space="preserve"> </w:t>
      </w:r>
      <w:r>
        <w:t>lymphoid nodular hyperplasia, non-specific colitis, and pervasive developmental</w:t>
      </w:r>
      <w:r>
        <w:t xml:space="preserve"> </w:t>
      </w:r>
      <w:r>
        <w:t xml:space="preserve">disorder in children [retracted]. Lancet </w:t>
      </w:r>
      <w:proofErr w:type="gramStart"/>
      <w:r>
        <w:t>1998;351:637</w:t>
      </w:r>
      <w:proofErr w:type="gramEnd"/>
      <w:r>
        <w:t>-41.</w:t>
      </w:r>
      <w:r w:rsidR="00455D83">
        <w:t xml:space="preserve"> </w:t>
      </w:r>
      <w:hyperlink r:id="rId1" w:history="1">
        <w:r w:rsidR="00455D83" w:rsidRPr="00AF3CF2">
          <w:rPr>
            <w:rStyle w:val="Hyperlink"/>
          </w:rPr>
          <w:t>https://doi.org/10.1016/S0140-6736(97)11096-0</w:t>
        </w:r>
      </w:hyperlink>
      <w:r w:rsidR="00455D83">
        <w:t xml:space="preserve"> </w:t>
      </w:r>
    </w:p>
  </w:footnote>
  <w:footnote w:id="2">
    <w:p w14:paraId="45A7BACA" w14:textId="02726D9E" w:rsidR="00455D83" w:rsidRDefault="00455D83">
      <w:pPr>
        <w:pStyle w:val="FootnoteText"/>
      </w:pPr>
      <w:r>
        <w:rPr>
          <w:rStyle w:val="FootnoteReference"/>
        </w:rPr>
        <w:footnoteRef/>
      </w:r>
      <w:r>
        <w:t xml:space="preserve"> The Editors of the Lancet. Retraction—</w:t>
      </w:r>
      <w:proofErr w:type="spellStart"/>
      <w:r>
        <w:t>Ileal</w:t>
      </w:r>
      <w:proofErr w:type="spellEnd"/>
      <w:r>
        <w:t>-lymphoid-nodular hyperplasia, non-specific colitis, and pervasive developmental disorder in children. Lancet 2010;</w:t>
      </w:r>
      <w:proofErr w:type="gramStart"/>
      <w:r>
        <w:t>375:P</w:t>
      </w:r>
      <w:proofErr w:type="gramEnd"/>
      <w:r>
        <w:t xml:space="preserve">445. </w:t>
      </w:r>
      <w:hyperlink r:id="rId2" w:history="1">
        <w:r w:rsidRPr="00AF3CF2">
          <w:rPr>
            <w:rStyle w:val="Hyperlink"/>
          </w:rPr>
          <w:t>https://doi.org/10.1016/S0140-6736(10)60175-4</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page" w:tblpXSpec="center" w:tblpY="725"/>
      <w:tblW w:w="10872" w:type="dxa"/>
      <w:jc w:val="center"/>
      <w:tblLayout w:type="fixed"/>
      <w:tblLook w:val="00A0" w:firstRow="1" w:lastRow="0" w:firstColumn="1" w:lastColumn="0" w:noHBand="0" w:noVBand="0"/>
    </w:tblPr>
    <w:tblGrid>
      <w:gridCol w:w="3258"/>
      <w:gridCol w:w="4860"/>
      <w:gridCol w:w="2754"/>
    </w:tblGrid>
    <w:tr w:rsidR="002A5D4A" w:rsidRPr="009E7FCE" w14:paraId="12048C38" w14:textId="77777777" w:rsidTr="0025578B">
      <w:trPr>
        <w:trHeight w:val="1710"/>
        <w:jc w:val="center"/>
      </w:trPr>
      <w:tc>
        <w:tcPr>
          <w:tcW w:w="3258" w:type="dxa"/>
        </w:tcPr>
        <w:p w14:paraId="271F0B39" w14:textId="77777777" w:rsidR="002A5D4A" w:rsidRPr="003968F7" w:rsidRDefault="002A5D4A" w:rsidP="00B12E59">
          <w:pPr>
            <w:pStyle w:val="Header"/>
            <w:rPr>
              <w:rFonts w:ascii="Garamond" w:hAnsi="Garamond"/>
              <w:b/>
              <w:color w:val="222A35" w:themeColor="text2" w:themeShade="80"/>
              <w:sz w:val="20"/>
            </w:rPr>
          </w:pPr>
          <w:r w:rsidRPr="003968F7">
            <w:rPr>
              <w:rFonts w:ascii="Garamond" w:hAnsi="Garamond"/>
              <w:b/>
              <w:color w:val="222A35" w:themeColor="text2" w:themeShade="80"/>
              <w:sz w:val="20"/>
            </w:rPr>
            <w:t>Center for Community Inclusion</w:t>
          </w:r>
        </w:p>
        <w:p w14:paraId="6CFE4BDE" w14:textId="77777777" w:rsidR="002A5D4A" w:rsidRPr="003968F7" w:rsidRDefault="002A5D4A" w:rsidP="00B12E59">
          <w:pPr>
            <w:pStyle w:val="Header"/>
            <w:rPr>
              <w:rFonts w:ascii="Garamond" w:hAnsi="Garamond"/>
              <w:b/>
              <w:color w:val="222A35" w:themeColor="text2" w:themeShade="80"/>
              <w:sz w:val="20"/>
            </w:rPr>
          </w:pPr>
          <w:r w:rsidRPr="003968F7">
            <w:rPr>
              <w:rFonts w:ascii="Garamond" w:hAnsi="Garamond"/>
              <w:b/>
              <w:color w:val="222A35" w:themeColor="text2" w:themeShade="80"/>
              <w:sz w:val="20"/>
            </w:rPr>
            <w:t>&amp; Disability Studies</w:t>
          </w:r>
        </w:p>
        <w:p w14:paraId="72B17AC8" w14:textId="77777777" w:rsidR="002A5D4A" w:rsidRPr="003968F7" w:rsidRDefault="002A5D4A" w:rsidP="00B12E59">
          <w:pPr>
            <w:pStyle w:val="Header"/>
            <w:rPr>
              <w:rFonts w:ascii="Garamond" w:hAnsi="Garamond"/>
              <w:i/>
              <w:color w:val="222A35" w:themeColor="text2" w:themeShade="80"/>
              <w:sz w:val="20"/>
            </w:rPr>
          </w:pPr>
          <w:r w:rsidRPr="003968F7">
            <w:rPr>
              <w:rFonts w:ascii="Garamond" w:hAnsi="Garamond"/>
              <w:i/>
              <w:color w:val="222A35" w:themeColor="text2" w:themeShade="80"/>
              <w:sz w:val="20"/>
            </w:rPr>
            <w:t>Maine’s University Center for</w:t>
          </w:r>
        </w:p>
        <w:p w14:paraId="1DC043AB" w14:textId="77777777" w:rsidR="002A5D4A" w:rsidRPr="003968F7" w:rsidRDefault="002A5D4A" w:rsidP="00B12E59">
          <w:pPr>
            <w:pStyle w:val="Header"/>
            <w:rPr>
              <w:rFonts w:ascii="Garamond" w:hAnsi="Garamond"/>
              <w:i/>
              <w:color w:val="222A35" w:themeColor="text2" w:themeShade="80"/>
              <w:sz w:val="20"/>
            </w:rPr>
          </w:pPr>
          <w:r w:rsidRPr="003968F7">
            <w:rPr>
              <w:rFonts w:ascii="Garamond" w:hAnsi="Garamond"/>
              <w:i/>
              <w:color w:val="222A35" w:themeColor="text2" w:themeShade="80"/>
              <w:sz w:val="20"/>
            </w:rPr>
            <w:t>Excellence in Developmental</w:t>
          </w:r>
        </w:p>
        <w:p w14:paraId="73F0B815" w14:textId="77777777" w:rsidR="002A5D4A" w:rsidRPr="00A238AC" w:rsidRDefault="002A5D4A" w:rsidP="00B12E59">
          <w:pPr>
            <w:pStyle w:val="Header"/>
            <w:rPr>
              <w:rFonts w:ascii="Book Antiqua" w:hAnsi="Book Antiqua"/>
              <w:i/>
              <w:sz w:val="20"/>
            </w:rPr>
          </w:pPr>
          <w:r w:rsidRPr="003968F7">
            <w:rPr>
              <w:rFonts w:ascii="Garamond" w:hAnsi="Garamond"/>
              <w:i/>
              <w:color w:val="222A35" w:themeColor="text2" w:themeShade="80"/>
              <w:sz w:val="20"/>
            </w:rPr>
            <w:t>Disabilities Education, Research and Service (UCEDD)</w:t>
          </w:r>
        </w:p>
      </w:tc>
      <w:tc>
        <w:tcPr>
          <w:tcW w:w="4860" w:type="dxa"/>
        </w:tcPr>
        <w:p w14:paraId="74D2E9F9" w14:textId="77777777" w:rsidR="002A5D4A" w:rsidRPr="009E7FCE" w:rsidRDefault="002A5D4A" w:rsidP="00B12E59">
          <w:pPr>
            <w:pStyle w:val="Header"/>
            <w:jc w:val="center"/>
            <w:rPr>
              <w:b/>
              <w:sz w:val="20"/>
            </w:rPr>
          </w:pPr>
          <w:r>
            <w:rPr>
              <w:noProof/>
              <w:lang w:eastAsia="en-US"/>
            </w:rPr>
            <w:drawing>
              <wp:inline distT="0" distB="0" distL="0" distR="0" wp14:anchorId="71100B43" wp14:editId="0F8D02E0">
                <wp:extent cx="2693313" cy="829733"/>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l="29434" r="30977" b="21788"/>
                        <a:stretch>
                          <a:fillRect/>
                        </a:stretch>
                      </pic:blipFill>
                      <pic:spPr bwMode="auto">
                        <a:xfrm>
                          <a:off x="0" y="0"/>
                          <a:ext cx="2693549" cy="829806"/>
                        </a:xfrm>
                        <a:prstGeom prst="rect">
                          <a:avLst/>
                        </a:prstGeom>
                        <a:noFill/>
                        <a:ln>
                          <a:noFill/>
                        </a:ln>
                      </pic:spPr>
                    </pic:pic>
                  </a:graphicData>
                </a:graphic>
              </wp:inline>
            </w:drawing>
          </w:r>
        </w:p>
      </w:tc>
      <w:tc>
        <w:tcPr>
          <w:tcW w:w="2754" w:type="dxa"/>
        </w:tcPr>
        <w:p w14:paraId="5A66E878" w14:textId="77777777" w:rsidR="002A5D4A" w:rsidRPr="003968F7" w:rsidRDefault="002A5D4A" w:rsidP="00B12E59">
          <w:pPr>
            <w:pStyle w:val="Header"/>
            <w:rPr>
              <w:rFonts w:ascii="Garamond" w:hAnsi="Garamond"/>
              <w:color w:val="222A35" w:themeColor="text2" w:themeShade="80"/>
              <w:sz w:val="20"/>
            </w:rPr>
          </w:pPr>
          <w:r w:rsidRPr="003968F7">
            <w:rPr>
              <w:rFonts w:ascii="Garamond" w:hAnsi="Garamond"/>
              <w:color w:val="222A35" w:themeColor="text2" w:themeShade="80"/>
              <w:sz w:val="20"/>
            </w:rPr>
            <w:t>5717 Corbett Hall, Room 234</w:t>
          </w:r>
        </w:p>
        <w:p w14:paraId="38F13CE7" w14:textId="77777777" w:rsidR="002A5D4A" w:rsidRPr="003968F7" w:rsidRDefault="002A5D4A" w:rsidP="00B12E59">
          <w:pPr>
            <w:pStyle w:val="Header"/>
            <w:rPr>
              <w:rFonts w:ascii="Garamond" w:hAnsi="Garamond"/>
              <w:color w:val="222A35" w:themeColor="text2" w:themeShade="80"/>
              <w:sz w:val="20"/>
            </w:rPr>
          </w:pPr>
          <w:proofErr w:type="spellStart"/>
          <w:r w:rsidRPr="003968F7">
            <w:rPr>
              <w:rFonts w:ascii="Garamond" w:hAnsi="Garamond"/>
              <w:color w:val="222A35" w:themeColor="text2" w:themeShade="80"/>
              <w:sz w:val="20"/>
            </w:rPr>
            <w:t>Orono</w:t>
          </w:r>
          <w:proofErr w:type="spellEnd"/>
          <w:r w:rsidRPr="003968F7">
            <w:rPr>
              <w:rFonts w:ascii="Garamond" w:hAnsi="Garamond"/>
              <w:color w:val="222A35" w:themeColor="text2" w:themeShade="80"/>
              <w:sz w:val="20"/>
            </w:rPr>
            <w:t>, ME 04469-5717</w:t>
          </w:r>
        </w:p>
        <w:p w14:paraId="19BA46AF" w14:textId="77777777" w:rsidR="002A5D4A" w:rsidRPr="003968F7" w:rsidRDefault="002A5D4A" w:rsidP="00B12E59">
          <w:pPr>
            <w:pStyle w:val="Header"/>
            <w:rPr>
              <w:rFonts w:ascii="Garamond" w:hAnsi="Garamond"/>
              <w:color w:val="222A35" w:themeColor="text2" w:themeShade="80"/>
              <w:sz w:val="20"/>
            </w:rPr>
          </w:pPr>
          <w:r w:rsidRPr="003968F7">
            <w:rPr>
              <w:rFonts w:ascii="Garamond" w:hAnsi="Garamond"/>
              <w:color w:val="222A35" w:themeColor="text2" w:themeShade="80"/>
              <w:sz w:val="20"/>
            </w:rPr>
            <w:t>207.581.1084 (V)</w:t>
          </w:r>
        </w:p>
        <w:p w14:paraId="1A36561B" w14:textId="77777777" w:rsidR="002A5D4A" w:rsidRPr="003968F7" w:rsidRDefault="002A5D4A" w:rsidP="00B12E59">
          <w:pPr>
            <w:pStyle w:val="Header"/>
            <w:rPr>
              <w:rFonts w:ascii="Garamond" w:hAnsi="Garamond"/>
              <w:color w:val="222A35" w:themeColor="text2" w:themeShade="80"/>
              <w:sz w:val="20"/>
            </w:rPr>
          </w:pPr>
          <w:r w:rsidRPr="003968F7">
            <w:rPr>
              <w:rFonts w:ascii="Garamond" w:hAnsi="Garamond"/>
              <w:color w:val="222A35" w:themeColor="text2" w:themeShade="80"/>
              <w:sz w:val="20"/>
            </w:rPr>
            <w:t>800.203.6957 (V)</w:t>
          </w:r>
        </w:p>
        <w:p w14:paraId="31921BEE" w14:textId="77777777" w:rsidR="002A5D4A" w:rsidRPr="003968F7" w:rsidRDefault="002A5D4A" w:rsidP="00B12E59">
          <w:pPr>
            <w:pStyle w:val="Header"/>
            <w:rPr>
              <w:rFonts w:ascii="Garamond" w:hAnsi="Garamond"/>
              <w:color w:val="222A35" w:themeColor="text2" w:themeShade="80"/>
              <w:sz w:val="20"/>
            </w:rPr>
          </w:pPr>
          <w:r w:rsidRPr="003968F7">
            <w:rPr>
              <w:rFonts w:ascii="Garamond" w:hAnsi="Garamond"/>
              <w:color w:val="222A35" w:themeColor="text2" w:themeShade="80"/>
              <w:sz w:val="20"/>
            </w:rPr>
            <w:t>207.581.1231 (Fax)</w:t>
          </w:r>
        </w:p>
        <w:p w14:paraId="4D46564C" w14:textId="77777777" w:rsidR="002A5D4A" w:rsidRPr="003968F7" w:rsidRDefault="002A5D4A" w:rsidP="00B12E59">
          <w:pPr>
            <w:pStyle w:val="Header"/>
            <w:rPr>
              <w:rFonts w:ascii="Garamond" w:hAnsi="Garamond"/>
              <w:color w:val="222A35" w:themeColor="text2" w:themeShade="80"/>
              <w:sz w:val="20"/>
            </w:rPr>
          </w:pPr>
          <w:r w:rsidRPr="003968F7">
            <w:rPr>
              <w:rFonts w:ascii="Garamond" w:hAnsi="Garamond"/>
              <w:color w:val="222A35" w:themeColor="text2" w:themeShade="80"/>
              <w:sz w:val="20"/>
            </w:rPr>
            <w:t>TTY users call Maine Relay 711</w:t>
          </w:r>
        </w:p>
        <w:p w14:paraId="1E697D79" w14:textId="77777777" w:rsidR="002A5D4A" w:rsidRPr="003968F7" w:rsidRDefault="002A5D4A" w:rsidP="00B12E59">
          <w:pPr>
            <w:pStyle w:val="Header"/>
            <w:rPr>
              <w:rFonts w:ascii="Garamond" w:hAnsi="Garamond"/>
              <w:color w:val="222A35" w:themeColor="text2" w:themeShade="80"/>
              <w:sz w:val="20"/>
            </w:rPr>
          </w:pPr>
          <w:r w:rsidRPr="003968F7">
            <w:rPr>
              <w:rFonts w:ascii="Garamond" w:hAnsi="Garamond"/>
              <w:color w:val="222A35" w:themeColor="text2" w:themeShade="80"/>
              <w:sz w:val="20"/>
            </w:rPr>
            <w:t>ccidsmail@umit.maine.edu</w:t>
          </w:r>
        </w:p>
        <w:p w14:paraId="4FFF58F5" w14:textId="77777777" w:rsidR="002A5D4A" w:rsidRPr="009E7FCE" w:rsidRDefault="002A5D4A" w:rsidP="00B12E59">
          <w:pPr>
            <w:pStyle w:val="Header"/>
            <w:rPr>
              <w:b/>
              <w:sz w:val="20"/>
            </w:rPr>
          </w:pPr>
          <w:r w:rsidRPr="003968F7">
            <w:rPr>
              <w:rFonts w:ascii="Garamond" w:hAnsi="Garamond"/>
              <w:color w:val="222A35" w:themeColor="text2" w:themeShade="80"/>
              <w:sz w:val="20"/>
            </w:rPr>
            <w:t>ccids.umaine.edu</w:t>
          </w:r>
        </w:p>
      </w:tc>
    </w:tr>
  </w:tbl>
  <w:p w14:paraId="07F4138D" w14:textId="77777777" w:rsidR="002A5D4A" w:rsidRDefault="002A5D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3EB"/>
    <w:multiLevelType w:val="hybridMultilevel"/>
    <w:tmpl w:val="A820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30493"/>
    <w:multiLevelType w:val="hybridMultilevel"/>
    <w:tmpl w:val="53CC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55F6C"/>
    <w:multiLevelType w:val="hybridMultilevel"/>
    <w:tmpl w:val="05D0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B76A6"/>
    <w:multiLevelType w:val="hybridMultilevel"/>
    <w:tmpl w:val="3520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F30CB"/>
    <w:multiLevelType w:val="hybridMultilevel"/>
    <w:tmpl w:val="2626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77C8B"/>
    <w:multiLevelType w:val="hybridMultilevel"/>
    <w:tmpl w:val="6A7A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02B4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C027304"/>
    <w:multiLevelType w:val="hybridMultilevel"/>
    <w:tmpl w:val="1746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870B9"/>
    <w:multiLevelType w:val="hybridMultilevel"/>
    <w:tmpl w:val="7AD8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16415"/>
    <w:multiLevelType w:val="hybridMultilevel"/>
    <w:tmpl w:val="A89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E63E6"/>
    <w:multiLevelType w:val="hybridMultilevel"/>
    <w:tmpl w:val="4FF2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A2527"/>
    <w:multiLevelType w:val="hybridMultilevel"/>
    <w:tmpl w:val="87A0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84738"/>
    <w:multiLevelType w:val="hybridMultilevel"/>
    <w:tmpl w:val="E24C2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73A50"/>
    <w:multiLevelType w:val="hybridMultilevel"/>
    <w:tmpl w:val="FEF45EFE"/>
    <w:lvl w:ilvl="0" w:tplc="1B88A2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A5053"/>
    <w:multiLevelType w:val="hybridMultilevel"/>
    <w:tmpl w:val="6850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F75E4"/>
    <w:multiLevelType w:val="hybridMultilevel"/>
    <w:tmpl w:val="0936A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CF7D87"/>
    <w:multiLevelType w:val="hybridMultilevel"/>
    <w:tmpl w:val="C9D2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B2261"/>
    <w:multiLevelType w:val="hybridMultilevel"/>
    <w:tmpl w:val="59EE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F0939"/>
    <w:multiLevelType w:val="hybridMultilevel"/>
    <w:tmpl w:val="1980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1208C"/>
    <w:multiLevelType w:val="hybridMultilevel"/>
    <w:tmpl w:val="9654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9"/>
  </w:num>
  <w:num w:numId="4">
    <w:abstractNumId w:val="15"/>
  </w:num>
  <w:num w:numId="5">
    <w:abstractNumId w:val="3"/>
  </w:num>
  <w:num w:numId="6">
    <w:abstractNumId w:val="2"/>
  </w:num>
  <w:num w:numId="7">
    <w:abstractNumId w:val="19"/>
  </w:num>
  <w:num w:numId="8">
    <w:abstractNumId w:val="11"/>
  </w:num>
  <w:num w:numId="9">
    <w:abstractNumId w:val="5"/>
  </w:num>
  <w:num w:numId="10">
    <w:abstractNumId w:val="0"/>
  </w:num>
  <w:num w:numId="11">
    <w:abstractNumId w:val="14"/>
  </w:num>
  <w:num w:numId="12">
    <w:abstractNumId w:val="4"/>
  </w:num>
  <w:num w:numId="13">
    <w:abstractNumId w:val="16"/>
  </w:num>
  <w:num w:numId="14">
    <w:abstractNumId w:val="13"/>
  </w:num>
  <w:num w:numId="15">
    <w:abstractNumId w:val="6"/>
  </w:num>
  <w:num w:numId="16">
    <w:abstractNumId w:val="12"/>
  </w:num>
  <w:num w:numId="17">
    <w:abstractNumId w:val="1"/>
  </w:num>
  <w:num w:numId="18">
    <w:abstractNumId w:val="17"/>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C8"/>
    <w:rsid w:val="0000060B"/>
    <w:rsid w:val="0000085E"/>
    <w:rsid w:val="00041D9C"/>
    <w:rsid w:val="00050F99"/>
    <w:rsid w:val="00053544"/>
    <w:rsid w:val="000876DC"/>
    <w:rsid w:val="000B17C1"/>
    <w:rsid w:val="000B79DC"/>
    <w:rsid w:val="000D1A43"/>
    <w:rsid w:val="000F17ED"/>
    <w:rsid w:val="001125C8"/>
    <w:rsid w:val="00124C82"/>
    <w:rsid w:val="00152735"/>
    <w:rsid w:val="001743D9"/>
    <w:rsid w:val="001952BC"/>
    <w:rsid w:val="001A7C6E"/>
    <w:rsid w:val="001B4C3E"/>
    <w:rsid w:val="0020113C"/>
    <w:rsid w:val="00202D5B"/>
    <w:rsid w:val="002471BD"/>
    <w:rsid w:val="0025578B"/>
    <w:rsid w:val="00257ED0"/>
    <w:rsid w:val="002A34B2"/>
    <w:rsid w:val="002A5A00"/>
    <w:rsid w:val="002A5D4A"/>
    <w:rsid w:val="002A6CFC"/>
    <w:rsid w:val="002B1D0A"/>
    <w:rsid w:val="002C212A"/>
    <w:rsid w:val="002C32EE"/>
    <w:rsid w:val="002E4E4D"/>
    <w:rsid w:val="002F5761"/>
    <w:rsid w:val="0030530E"/>
    <w:rsid w:val="00331DAC"/>
    <w:rsid w:val="00331FFC"/>
    <w:rsid w:val="00342601"/>
    <w:rsid w:val="00351919"/>
    <w:rsid w:val="003535B4"/>
    <w:rsid w:val="003605B2"/>
    <w:rsid w:val="00361DA9"/>
    <w:rsid w:val="003A57B6"/>
    <w:rsid w:val="003E3FCD"/>
    <w:rsid w:val="00407E92"/>
    <w:rsid w:val="00410DA6"/>
    <w:rsid w:val="00416851"/>
    <w:rsid w:val="0043377A"/>
    <w:rsid w:val="00440BD2"/>
    <w:rsid w:val="00446DC4"/>
    <w:rsid w:val="00447335"/>
    <w:rsid w:val="00451B85"/>
    <w:rsid w:val="004524E5"/>
    <w:rsid w:val="00455B08"/>
    <w:rsid w:val="00455D83"/>
    <w:rsid w:val="004800B5"/>
    <w:rsid w:val="0048141D"/>
    <w:rsid w:val="004B5B0B"/>
    <w:rsid w:val="004D4F41"/>
    <w:rsid w:val="004E0D2B"/>
    <w:rsid w:val="004E3FDE"/>
    <w:rsid w:val="004F0AFB"/>
    <w:rsid w:val="005025D2"/>
    <w:rsid w:val="00530BD9"/>
    <w:rsid w:val="0053256B"/>
    <w:rsid w:val="00544837"/>
    <w:rsid w:val="00554482"/>
    <w:rsid w:val="0057148C"/>
    <w:rsid w:val="00573F68"/>
    <w:rsid w:val="00586423"/>
    <w:rsid w:val="005A47DF"/>
    <w:rsid w:val="005A483D"/>
    <w:rsid w:val="005B40CB"/>
    <w:rsid w:val="005C5E57"/>
    <w:rsid w:val="005E2335"/>
    <w:rsid w:val="005E37C4"/>
    <w:rsid w:val="005E7471"/>
    <w:rsid w:val="00627696"/>
    <w:rsid w:val="00640622"/>
    <w:rsid w:val="00654132"/>
    <w:rsid w:val="006564D7"/>
    <w:rsid w:val="00656816"/>
    <w:rsid w:val="00670177"/>
    <w:rsid w:val="006A07FF"/>
    <w:rsid w:val="006A6F0B"/>
    <w:rsid w:val="006B34C5"/>
    <w:rsid w:val="006D6A2C"/>
    <w:rsid w:val="006D6C2D"/>
    <w:rsid w:val="00710C17"/>
    <w:rsid w:val="0071219F"/>
    <w:rsid w:val="00740F8C"/>
    <w:rsid w:val="00741EBB"/>
    <w:rsid w:val="00743E70"/>
    <w:rsid w:val="00757E1A"/>
    <w:rsid w:val="00783F6D"/>
    <w:rsid w:val="00791D38"/>
    <w:rsid w:val="007F0ED3"/>
    <w:rsid w:val="00803E72"/>
    <w:rsid w:val="0085209F"/>
    <w:rsid w:val="00857426"/>
    <w:rsid w:val="0086383E"/>
    <w:rsid w:val="00880067"/>
    <w:rsid w:val="00893E9A"/>
    <w:rsid w:val="008A1F6F"/>
    <w:rsid w:val="008A38F0"/>
    <w:rsid w:val="008A70E5"/>
    <w:rsid w:val="008D1E1E"/>
    <w:rsid w:val="008D5EDF"/>
    <w:rsid w:val="008E0491"/>
    <w:rsid w:val="008E6ED5"/>
    <w:rsid w:val="009377DA"/>
    <w:rsid w:val="00944E93"/>
    <w:rsid w:val="009840EB"/>
    <w:rsid w:val="009A2D29"/>
    <w:rsid w:val="009A4236"/>
    <w:rsid w:val="009A6CB0"/>
    <w:rsid w:val="009B5226"/>
    <w:rsid w:val="009F0CB3"/>
    <w:rsid w:val="009F2180"/>
    <w:rsid w:val="00A11B28"/>
    <w:rsid w:val="00A379B0"/>
    <w:rsid w:val="00A42F1C"/>
    <w:rsid w:val="00A471C5"/>
    <w:rsid w:val="00A57706"/>
    <w:rsid w:val="00A630F7"/>
    <w:rsid w:val="00A80B04"/>
    <w:rsid w:val="00A814C0"/>
    <w:rsid w:val="00A8332A"/>
    <w:rsid w:val="00A87881"/>
    <w:rsid w:val="00AC3694"/>
    <w:rsid w:val="00AD3E10"/>
    <w:rsid w:val="00AD43C6"/>
    <w:rsid w:val="00AE1E91"/>
    <w:rsid w:val="00AE3BD3"/>
    <w:rsid w:val="00AF32A2"/>
    <w:rsid w:val="00B06751"/>
    <w:rsid w:val="00B06833"/>
    <w:rsid w:val="00B12E59"/>
    <w:rsid w:val="00B15436"/>
    <w:rsid w:val="00B161B4"/>
    <w:rsid w:val="00B16ED4"/>
    <w:rsid w:val="00B17905"/>
    <w:rsid w:val="00B20F16"/>
    <w:rsid w:val="00B32DA5"/>
    <w:rsid w:val="00B32FEC"/>
    <w:rsid w:val="00B627D2"/>
    <w:rsid w:val="00B72AB8"/>
    <w:rsid w:val="00B94A94"/>
    <w:rsid w:val="00B960D5"/>
    <w:rsid w:val="00BC2C8D"/>
    <w:rsid w:val="00BC35D6"/>
    <w:rsid w:val="00BC4951"/>
    <w:rsid w:val="00BD0603"/>
    <w:rsid w:val="00BD540B"/>
    <w:rsid w:val="00BD67AD"/>
    <w:rsid w:val="00C0648C"/>
    <w:rsid w:val="00C20963"/>
    <w:rsid w:val="00C20A5F"/>
    <w:rsid w:val="00C5015A"/>
    <w:rsid w:val="00C504FF"/>
    <w:rsid w:val="00C6208F"/>
    <w:rsid w:val="00C71430"/>
    <w:rsid w:val="00C755C8"/>
    <w:rsid w:val="00C77346"/>
    <w:rsid w:val="00C773A4"/>
    <w:rsid w:val="00C81622"/>
    <w:rsid w:val="00CA6A66"/>
    <w:rsid w:val="00CE57F5"/>
    <w:rsid w:val="00CF3535"/>
    <w:rsid w:val="00CF5DF9"/>
    <w:rsid w:val="00D14F26"/>
    <w:rsid w:val="00D3596E"/>
    <w:rsid w:val="00D471E4"/>
    <w:rsid w:val="00D63636"/>
    <w:rsid w:val="00D8081B"/>
    <w:rsid w:val="00DA2F11"/>
    <w:rsid w:val="00DA36AA"/>
    <w:rsid w:val="00DA56D4"/>
    <w:rsid w:val="00DB3578"/>
    <w:rsid w:val="00DC4DC0"/>
    <w:rsid w:val="00DD1E68"/>
    <w:rsid w:val="00DD511A"/>
    <w:rsid w:val="00DF2A4C"/>
    <w:rsid w:val="00E04453"/>
    <w:rsid w:val="00E251EB"/>
    <w:rsid w:val="00E44F1C"/>
    <w:rsid w:val="00E61602"/>
    <w:rsid w:val="00E724A7"/>
    <w:rsid w:val="00E75B19"/>
    <w:rsid w:val="00E856BD"/>
    <w:rsid w:val="00EB3325"/>
    <w:rsid w:val="00EC0D40"/>
    <w:rsid w:val="00EC720F"/>
    <w:rsid w:val="00EE0F5F"/>
    <w:rsid w:val="00EE1396"/>
    <w:rsid w:val="00F070DF"/>
    <w:rsid w:val="00F1479A"/>
    <w:rsid w:val="00F202F8"/>
    <w:rsid w:val="00F27BC5"/>
    <w:rsid w:val="00F62897"/>
    <w:rsid w:val="00F62C95"/>
    <w:rsid w:val="00F760F3"/>
    <w:rsid w:val="00F832CC"/>
    <w:rsid w:val="00F864D0"/>
    <w:rsid w:val="00F91361"/>
    <w:rsid w:val="00FA44F9"/>
    <w:rsid w:val="00FB74E0"/>
    <w:rsid w:val="00FD6A0A"/>
    <w:rsid w:val="00FE32F6"/>
    <w:rsid w:val="00FE47B5"/>
    <w:rsid w:val="00FF156F"/>
    <w:rsid w:val="00FF74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C997C"/>
  <w15:docId w15:val="{CC7C988A-27D0-41A0-9B77-28A81E23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919"/>
  </w:style>
  <w:style w:type="paragraph" w:styleId="Heading1">
    <w:name w:val="heading 1"/>
    <w:basedOn w:val="Normal"/>
    <w:next w:val="Normal"/>
    <w:link w:val="Heading1Char"/>
    <w:uiPriority w:val="9"/>
    <w:qFormat/>
    <w:rsid w:val="000B79DC"/>
    <w:pPr>
      <w:keepNext/>
      <w:keepLines/>
      <w:numPr>
        <w:numId w:val="1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79DC"/>
    <w:pPr>
      <w:keepNext/>
      <w:keepLines/>
      <w:numPr>
        <w:ilvl w:val="1"/>
        <w:numId w:val="1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3F6D"/>
    <w:pPr>
      <w:keepNext/>
      <w:keepLines/>
      <w:numPr>
        <w:ilvl w:val="2"/>
        <w:numId w:val="1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83F6D"/>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3F6D"/>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83F6D"/>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83F6D"/>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83F6D"/>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3F6D"/>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5C8"/>
    <w:pPr>
      <w:ind w:left="720"/>
      <w:contextualSpacing/>
    </w:pPr>
  </w:style>
  <w:style w:type="paragraph" w:styleId="Header">
    <w:name w:val="header"/>
    <w:basedOn w:val="Normal"/>
    <w:link w:val="HeaderChar"/>
    <w:unhideWhenUsed/>
    <w:rsid w:val="00B12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E59"/>
  </w:style>
  <w:style w:type="paragraph" w:styleId="Footer">
    <w:name w:val="footer"/>
    <w:basedOn w:val="Normal"/>
    <w:link w:val="FooterChar"/>
    <w:unhideWhenUsed/>
    <w:rsid w:val="00B12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E59"/>
  </w:style>
  <w:style w:type="paragraph" w:styleId="Date">
    <w:name w:val="Date"/>
    <w:basedOn w:val="Normal"/>
    <w:next w:val="Normal"/>
    <w:link w:val="DateChar"/>
    <w:uiPriority w:val="99"/>
    <w:semiHidden/>
    <w:unhideWhenUsed/>
    <w:rsid w:val="00C6208F"/>
  </w:style>
  <w:style w:type="character" w:customStyle="1" w:styleId="DateChar">
    <w:name w:val="Date Char"/>
    <w:basedOn w:val="DefaultParagraphFont"/>
    <w:link w:val="Date"/>
    <w:uiPriority w:val="99"/>
    <w:semiHidden/>
    <w:rsid w:val="00C6208F"/>
  </w:style>
  <w:style w:type="character" w:styleId="Hyperlink">
    <w:name w:val="Hyperlink"/>
    <w:basedOn w:val="DefaultParagraphFont"/>
    <w:uiPriority w:val="99"/>
    <w:unhideWhenUsed/>
    <w:rsid w:val="00AC3694"/>
    <w:rPr>
      <w:color w:val="0563C1" w:themeColor="hyperlink"/>
      <w:u w:val="single"/>
    </w:rPr>
  </w:style>
  <w:style w:type="character" w:styleId="FollowedHyperlink">
    <w:name w:val="FollowedHyperlink"/>
    <w:basedOn w:val="DefaultParagraphFont"/>
    <w:uiPriority w:val="99"/>
    <w:semiHidden/>
    <w:unhideWhenUsed/>
    <w:rsid w:val="0025578B"/>
    <w:rPr>
      <w:color w:val="954F72" w:themeColor="followedHyperlink"/>
      <w:u w:val="single"/>
    </w:rPr>
  </w:style>
  <w:style w:type="paragraph" w:styleId="BalloonText">
    <w:name w:val="Balloon Text"/>
    <w:basedOn w:val="Normal"/>
    <w:link w:val="BalloonTextChar"/>
    <w:uiPriority w:val="99"/>
    <w:semiHidden/>
    <w:unhideWhenUsed/>
    <w:rsid w:val="00CF5D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5DF9"/>
    <w:rPr>
      <w:rFonts w:ascii="Lucida Grande" w:hAnsi="Lucida Grande" w:cs="Lucida Grande"/>
      <w:sz w:val="18"/>
      <w:szCs w:val="18"/>
    </w:rPr>
  </w:style>
  <w:style w:type="paragraph" w:styleId="Caption">
    <w:name w:val="caption"/>
    <w:basedOn w:val="Normal"/>
    <w:next w:val="Normal"/>
    <w:uiPriority w:val="35"/>
    <w:unhideWhenUsed/>
    <w:qFormat/>
    <w:rsid w:val="00743E70"/>
    <w:pPr>
      <w:spacing w:after="200" w:line="240" w:lineRule="auto"/>
    </w:pPr>
    <w:rPr>
      <w:b/>
      <w:bCs/>
      <w:color w:val="5B9BD5" w:themeColor="accent1"/>
      <w:sz w:val="18"/>
      <w:szCs w:val="18"/>
      <w:lang w:eastAsia="en-US"/>
    </w:rPr>
  </w:style>
  <w:style w:type="table" w:styleId="TableGrid">
    <w:name w:val="Table Grid"/>
    <w:basedOn w:val="TableNormal"/>
    <w:uiPriority w:val="39"/>
    <w:rsid w:val="004E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B79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B79DC"/>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6276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696"/>
    <w:rPr>
      <w:sz w:val="20"/>
      <w:szCs w:val="20"/>
    </w:rPr>
  </w:style>
  <w:style w:type="character" w:styleId="FootnoteReference">
    <w:name w:val="footnote reference"/>
    <w:basedOn w:val="DefaultParagraphFont"/>
    <w:uiPriority w:val="99"/>
    <w:semiHidden/>
    <w:unhideWhenUsed/>
    <w:rsid w:val="00627696"/>
    <w:rPr>
      <w:vertAlign w:val="superscript"/>
    </w:rPr>
  </w:style>
  <w:style w:type="character" w:customStyle="1" w:styleId="Heading3Char">
    <w:name w:val="Heading 3 Char"/>
    <w:basedOn w:val="DefaultParagraphFont"/>
    <w:link w:val="Heading3"/>
    <w:uiPriority w:val="9"/>
    <w:semiHidden/>
    <w:rsid w:val="00783F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83F6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83F6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83F6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83F6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83F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3F6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337526">
      <w:bodyDiv w:val="1"/>
      <w:marLeft w:val="0"/>
      <w:marRight w:val="0"/>
      <w:marTop w:val="0"/>
      <w:marBottom w:val="0"/>
      <w:divBdr>
        <w:top w:val="none" w:sz="0" w:space="0" w:color="auto"/>
        <w:left w:val="none" w:sz="0" w:space="0" w:color="auto"/>
        <w:bottom w:val="none" w:sz="0" w:space="0" w:color="auto"/>
        <w:right w:val="none" w:sz="0" w:space="0" w:color="auto"/>
      </w:divBdr>
    </w:div>
    <w:div w:id="153256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16/S0140-6736(10)60175-4" TargetMode="External"/><Relationship Id="rId1" Type="http://schemas.openxmlformats.org/officeDocument/2006/relationships/hyperlink" Target="https://doi.org/10.1016/S0140-6736(97)1109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3A4F9-8080-4EC3-853B-EEFC079B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Cobo-Lewis</dc:creator>
  <cp:keywords/>
  <dc:description/>
  <cp:lastModifiedBy>Alan Cobo-Lewis</cp:lastModifiedBy>
  <cp:revision>11</cp:revision>
  <cp:lastPrinted>2018-03-25T20:12:00Z</cp:lastPrinted>
  <dcterms:created xsi:type="dcterms:W3CDTF">2018-03-25T20:14:00Z</dcterms:created>
  <dcterms:modified xsi:type="dcterms:W3CDTF">2019-03-13T13:26:00Z</dcterms:modified>
</cp:coreProperties>
</file>